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can be broadly classified into two categories: merchants and industrial buyers.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Merchant buyers primary task is to purchase raw materials for resale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low ROA suggests that management is capable of generating large profits with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relatively</w:t>
            </w:r>
            <w:r>
              <w:rPr>
                <w:rStyle w:val="DefaultParagraphFont"/>
                <w:rFonts w:ascii="Times New Roman" w:eastAsia="Times New Roman" w:hAnsi="Times New Roman" w:cs="Times New Roman"/>
                <w:b w:val="0"/>
                <w:bCs w:val="0"/>
                <w:i w:val="0"/>
                <w:iCs w:val="0"/>
                <w:smallCaps w:val="0"/>
                <w:color w:val="000000"/>
                <w:sz w:val="22"/>
                <w:szCs w:val="22"/>
                <w:bdr w:val="nil"/>
                <w:rtl w:val="0"/>
              </w:rPr>
              <w:t> small investments.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procedures for public procurement differ from the private sector.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supply base refers to the list of suppliers that a firm uses to acquire its materials, services, supplies, and equipment.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a good purchasing system is to ensure efficient information transitions between the materials users, the purchasing personnel, and the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purchase order is NOT a legally binding contract until it is accepted by the supplier.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material requisition and a purchase requisition are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Uniform Commercial Code (UCC) governs the purchase and sale of goods in every state in the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Procurement credit cards can be used for small purchases including meals, lodging, and travel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Blank check purchase orders, Corporate purchasing cards, Petty cash, and Open-end purchase orders are all possible alternatives to dealing with small value purchases such as those for office supplies.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firms outsource noncore activities while focusing on core competencies.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break-even point in a typical make-buy scenario is 19,000 units and 10,000 units are required by the firm, then the firm should choose to make the units.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reason for making items instead of buying them would include better quality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 of Ownership Concept includes qualitative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 analysis demonstrates how the unit cost alone can affect purchase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possibility of events like strikes, assembly line breakdowns, and natural disasters are all reasons a company should favor using a single supplier.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 purchasing is the practice where individual, local purchasing departments throughout a single corporation make their own, individual purchasing decisions to fulfill their individual local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USMCA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EU are trade organizations seeking to reduce tariff and non-tariff barriers among its member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Foreign suppliers located farther away may be able to deliver goods faster than domestic suppliers due to more efficient transportation and logistical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goals of purchasing include all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Secure materials at the lowest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customer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 the quality of finished goods produced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the highest quality raw materials are purchased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the measurement of the impact of change in purchase spend on a firm’s profit before taxes, assuming gross sales and other expenses remain unchanged?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Profit-Leverage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Offset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Leveraging Purchase Volume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calculating Return on Investment, fixed assets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Accounts Receivable, and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Accounts Receivable, and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 Equipment, and Real Estate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 Buildings, and Real Estate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Turnover can be calculated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cost of goods sold over average inventory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average inventory cost over cost of goods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inventory days in stock over average inventory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average inventory cost over inventory days in stock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requisition is used for materials and standard parts that are requested on a recurring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 requisition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Blanket requisition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Traveling requisition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Recyclable requisition (Cyc-Rec)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form of purchasing that is placed directly to the supplier and suitable when firms use the same components to make standard goods over a relatively long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 requisition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 purchasing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Planned order release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Distributed purchasing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product is purchased that is complicated or highly technical, what may be issued instead of a request for quotation?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Request for proposal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 for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Benefits derived from implementing e-procurement systems include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buyers to submit bids and suppliers to respond to those bids in real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the accuracy in communication between buyers and 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Creates numerous additional job opportunities in the purchasing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buyers to support minority or locally owned businesses by storing this supplier information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most public procurement is focused on goals like those of purchasing departments in the private sector, U.S. federal government purchases must comply with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Services and Materials Acquisition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 Standards and Equitable Purchases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Code of Conduct for Procurement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Acquisition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Petty cash is being phased out in favor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blank check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P-card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Wire transferring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Blanket or open-end purchase orders are suitable for buying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Heavy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 built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supplies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reason small value purchases are handled differently?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give the buyer additional supplier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obtain a higher quality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have better tracking of material 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control unnecessary administrative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illustrates Forward Vertical Integration?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 starting a new division that designs and manufactures clothing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Ford automotive buying additional machines for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Subway sandwich company buying a bakery to make the bread for their sandwiches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Computers buying retail computer stores to sell computers to the public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a good reason to outsource (buy) versus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utilize existing capacity within a company's own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 is running at or near capacity and is unable to meet demand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have more direct control over the design and production of an end item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competent supplier presently produces the needed item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make-buy information, what would be the break-even point?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00"/>
              <w:gridCol w:w="2160"/>
              <w:gridCol w:w="2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0" w:type="dxa"/>
                  <w:tcBorders>
                    <w:bottom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Make Option</w:t>
                  </w:r>
                </w:p>
              </w:tc>
              <w:tc>
                <w:tcPr>
                  <w:tcW w:w="216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Buy Option</w:t>
                  </w:r>
                </w:p>
              </w:tc>
            </w:tr>
            <w:tr>
              <w:tblPrEx>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Fixed Costs</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Costs</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 units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make-buy information, what would be the break-even point?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00"/>
              <w:gridCol w:w="2160"/>
              <w:gridCol w:w="2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0" w:type="dxa"/>
                  <w:tcBorders>
                    <w:bottom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Make Option</w:t>
                  </w:r>
                </w:p>
              </w:tc>
              <w:tc>
                <w:tcPr>
                  <w:tcW w:w="2160" w:type="dxa"/>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Buy Option</w:t>
                  </w:r>
                </w:p>
              </w:tc>
            </w:tr>
            <w:tr>
              <w:tblPrEx>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Fixed Costs</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$1600</w:t>
                  </w:r>
                </w:p>
              </w:tc>
            </w:tr>
            <w:tr>
              <w:tblPrEx>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Costs</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216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2280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1550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550 units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As firms seek to improve the products they offer to the market, companies are seeking help from their suppliers in new product design and development through: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 certification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Heuristics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Early supplier involvement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Focused Work Centers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typically use all of the following factors when considering which suppliers to select for important materials </w:t>
            </w:r>
            <w:r>
              <w:rPr>
                <w:rStyle w:val="DefaultParagraphFont"/>
                <w:rFonts w:ascii="Times New Roman" w:eastAsia="Times New Roman" w:hAnsi="Times New Roman" w:cs="Times New Roman"/>
                <w:b w:val="0"/>
                <w:bCs w:val="0"/>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 system and cycle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and product technologies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Slotting fees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Total Cost of Ownership does NOT consider which of the following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order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Freight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Currency exchange fees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Tooling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 of ownership for Supplier A is $1,670,000. The total cost of ownership for Supplier B is $2,250,000. The total cost of ownership for Supplier C is $1,990,000. Using Total Cost Analysis, it will be more cost-effective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determined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reason for favoring single sourcing?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Encourages competition among 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Spreads the risk of supply interruption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variabilities in quality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information about new processing technologies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reason that single sourcing is considered risky/bad?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could be supplier interruptions due to political instability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could establish close relationships with the supplier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orders make quantity discounts more likely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the item quality variability of items purchased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advantage of a centralized purchasing department?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bureaucracy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frequent shipments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supply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Closer contact between buyer and user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 purchasing is where individual, local purchasing departments, such as at the plant level, make their own purchasing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 purchasing minimizes the competition problem when scarce materials are purchased from the same supplier.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 purchasing eliminates the duplication of job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 purchasing allows larger shipments to be made which can decrease overall transportation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potential challenge for global sourcing?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delivery lead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Costs involved in selecting foreign 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Reduction of international trade barriers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and legal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form of countertrade?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Kaizen blitz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Counterpurchase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Buy American Act</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does the Buy American Act apply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procurement is intended for public use within the U.S.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materials to manufacture the goods are available in the 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government purchasers must purchase domestically produced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decrease purchase spend?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safety stock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queue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Decreasing information visibility along the supply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materials at a lower total acquisition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Return on assets (ROA) can be calculated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cost of goods sold over total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net income over total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average inventory cost over total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 of net income over average inventory cost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states is NOT governed by the Uniform Commercial Code (UCC) in the purchase and sale of goods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Delaware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Louisiana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incoterms?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Incoterms deal with dispute resolutions.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Incoterms are a substitute for a sales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Incoterms simplify international transactions of goods with respect to transport obligations.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Incoterms deal with consequences for breach of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using the Total Cost of Ownership concept, explain how a supplier with a higher unit price and higher tooling cost can end up being more cost effective than another supplier with a lower unit price and tooling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calculating the Total Cost of Ownership, unit price and tooling cost are not the only criterion used in supplier selection. Other qualitative and quantitative factors, including freight and inventory costs, tariffs and duties, currency exchange fees, payment terms, maintenance and nonperformance costs should be considered. After calculating these other factors, the Total Cost of Ownership may have been lower with the second supplier.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Use what you understand about the outsourcing decision (Make vs. Buy) to answer this question. List and explain three reasons a restaurant might decide to buy pre-made desserts from a supplier rather than making the goods from scratch.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Reasons a restaurant might decide to buy pre-made desserts from a supplier.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20"/>
                    <w:gridCol w:w="7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Creating a high-quality dessert might require unusual, as well as, a large number of ingredients. They may not be able to take advantage of economies of scale, if they do not sell a lot of desserts. It also may be quite costly to hire a specialist to make the desserts.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Insufficient Capacity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A restaurant may not have the capacity to make fresh desserts daily to fulfill the demand. They might not be able to offer a large selection of desserts.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Lack of expertise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The restaurant personnel may not know how to make specialized desserts. Or perhaps it is difficult to hire a dessert specialist.</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Quality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While they may have the time, money, and skill to make desserts, they may not be able to make them as well as a place which specializes in desserts.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Similar answers with slightly different rationale may also be acceptable.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03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Answer the questions that follow, based on the diagram provided below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3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ne graph has QUANTITY label on horizontal axis and COST label on vertical axis. Values on the x (horizontal) axis start at zero and go up to 600 in increments of 100. Values on the y (vertical) axis start at zero and go up to $6000 in increments of $1000. Beginning data point for the BUY option is in BLUE and is located at 0 on the x axis and $500 on the y axis. Ending data point for the BUY option is in BLUE and is located at 350 on the x axis and $5000 on the y axis. A solid BLUE line is drawn between those data points. Beginning data point for the MAKE option is in RED and is located at 0 on the x axis and $3000 on the y axis. Ending data point for the MAKE option is in RED and is located at 350 on the x axis and $4000 on the y axis. A dashed RED line is drawn between those data points." style="height:5in;width:501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p>
            <w:pPr>
              <w:pStyle w:val="p"/>
              <w:bidi w:val="0"/>
              <w:spacing w:before="0" w:beforeAutospacing="0" w:after="0" w:afterAutospacing="0"/>
              <w:jc w:val="left"/>
            </w:pPr>
            <w:r>
              <w:rPr>
                <w:position w:val="-297"/>
              </w:rPr>
              <w:pict>
                <v:shape id="_x0000_i1027" type="#_x0000_t75" alt="Line graph has QUANTITY label on horizontal axis and COST label on vertical axis. Values on the x (horizontal) axis start at zero and go up to 400 in increments of 50. Values on the y (vertical) axis start at zero and go up to $4500 in increments of $500. Beginning data point for the BUY option is in BLUE and is located at 0 on the x axis and $750 on the y axis. Ending data point for the BUY option is in BLUE and is located at 350 on the x axis and $4000 on the y axis. A solid BLUE line is drawn between those data points. Beginning data point for the MAKE option is in RED and is located at 0 on the x axis and $2500 on the y axis. Ending data point for the MAKE option is in RED and is located at 350 on the x axis and $3500 on the y axis. A dashed RED line is drawn between those data points." style="height:309pt;width:501pt">
                  <v:imagedata r:id="rId5" o:title=""/>
                </v:shape>
              </w:pict>
            </w:r>
          </w:p>
          <w:tbl>
            <w:tblPr>
              <w:jc w:val="left"/>
              <w:tblBorders>
                <w:top w:val="nil"/>
                <w:left w:val="nil"/>
                <w:bottom w:val="nil"/>
                <w:right w:val="nil"/>
                <w:insideH w:val="nil"/>
                <w:insideV w:val="nil"/>
              </w:tblBorders>
              <w:tblCellMar>
                <w:top w:w="0" w:type="dxa"/>
                <w:left w:w="0" w:type="dxa"/>
                <w:bottom w:w="0" w:type="dxa"/>
                <w:right w:w="0" w:type="dxa"/>
              </w:tblCellMar>
            </w:tblPr>
            <w:tblGrid>
              <w:gridCol w:w="69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fixed costs for the buy decision?</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breakeven quantity for the two options illustrated?</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 Q = 250, would you choose the make or buy option? Why?</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 Q = 300, what will be the total cost associated with the best decision at this quantity?</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69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iCs/>
                            <w:smallCaps w:val="0"/>
                            <w:color w:val="000000"/>
                            <w:sz w:val="22"/>
                            <w:szCs w:val="22"/>
                            <w:bdr w:val="nil"/>
                            <w:rtl w:val="0"/>
                          </w:rPr>
                          <w:t>What are the fixed costs for the buy decision?</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iCs/>
                            <w:smallCaps w:val="0"/>
                            <w:color w:val="000000"/>
                            <w:sz w:val="22"/>
                            <w:szCs w:val="22"/>
                            <w:bdr w:val="nil"/>
                            <w:rtl w:val="0"/>
                          </w:rPr>
                          <w:t>What is the breakeven quantity for the two options illustrated?</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Break-even quantity seems to be near 225 units. Using this chart, anything within 205 and 245 would probably be deemed acceptable.</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iCs/>
                            <w:smallCaps w:val="0"/>
                            <w:color w:val="000000"/>
                            <w:sz w:val="22"/>
                            <w:szCs w:val="22"/>
                            <w:bdr w:val="nil"/>
                            <w:rtl w:val="0"/>
                          </w:rPr>
                          <w:t>At Q = 250, would you choose the make or buy option? Why?</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choice is close, but technically, the buy option is better since the total costs for buying are about $3100 versus about $3250 for making.</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iCs/>
                            <w:smallCaps w:val="0"/>
                            <w:color w:val="000000"/>
                            <w:sz w:val="22"/>
                            <w:szCs w:val="22"/>
                            <w:bdr w:val="nil"/>
                            <w:rtl w:val="0"/>
                          </w:rPr>
                          <w:t>At Q = 300, what will be the total cost associated with the best decision at this quantity?</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best decision is to make, and the total cost is around $3400.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Global sourcing has become commonplace. Many companies now consider expanding their supply base to include foreign suppliers. List three reasons why companies choose to source globally.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price of materials (and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Overseas products may be of higher quality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delivery times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array of services offered by the material supplier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Favorable exchange rates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 local economies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Countertrade contracts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BOEHM Cell Phone Company has developed a new series of phones that it plans to bring to the market in the next 18 months. Management is considering whether to produce the product in-house or to contract out the purchasing and manufacturing of their new cell phones.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FOUR conditions that would favor outsourcing and FOUR conditions that would favor making the cell phones in-house.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Conditions that favor outsourcing:</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15"/>
                    <w:gridCol w:w="7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other firms are offering cost advantages.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Boehm Cell Phone does not have sufficient capacity to meet the expected demand for the new line of cell phones.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Perhaps Boehm is largely a design company that does not have expertise in purchasing and manufacturing. An outside firm might be better qualified to deliver a high quality product at a lower price.</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Outside companies may offer higher quality due to advantages in areas of skill, technology, and business processes.</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Conditions that favor making the cell phones in-house: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16"/>
                    <w:gridCol w:w="7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technology associated with the new lines of phones is proprietary, it may be easier to maintain secrecy in both manufacturing and in first-to-market marketing.</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Perhaps no one is capable of producing this product or a necessary component.</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firm feels that its quality programs are superior to any potential business partner, they may prefer to do it themselves to preserve the integrity of the brand.</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expects manufacturing capacity to be available once the product goes into production.</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company prefers to have more control over distribution related activities.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company has the capability to produce the product at a lower cost if advantages in supply chain capabilities and/or economies of scale exist.</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conditions would you most likely utilize a centralized purchasing system? List two advantages that would be gained by utilizing a centralized purchasing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conditions would you most likely utilize a decentralized purchasing system? List two advantages that would be gained by utilizing a decentralized purchasing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Under which conditions would you most likely utilize a centralized purchasing system?</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 centralized purchasing system would be favored by a company that is looking to reduce safety stocks, increase control in purchasing, centralize decision making, avoid duplicate purchases, centrally manage supplier relationships, and maximize available quantity discounts.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List two advantages that would be gained by utilizing a centralized purchasing system.</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16"/>
                    <w:gridCol w:w="7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Concentration of purchasing leading to lower purchase costs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duplication of job functions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Buyer specialization</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transportation costs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Easier to negotiate contracts and manage relationships with a common supplier base</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 competition between units when purchasing the same material</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iCs/>
                      <w:smallCaps w:val="0"/>
                      <w:color w:val="000000"/>
                      <w:sz w:val="22"/>
                      <w:szCs w:val="22"/>
                      <w:bdr w:val="nil"/>
                      <w:rtl w:val="0"/>
                    </w:rPr>
                    <w:t>Under which conditions would you most likely utilize a decentralized purchasing system?</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 decentralized purchasing system would be favored by a company that is looking to make quicker decisions, maintain stocks that are closer to their customers, and identify and respond to changing customer needs at the local level.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List two advantages that would be gained by utilizing a decentralized purchasing system.</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14"/>
                    <w:gridCol w:w="7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and decentralized buyers often have a greater knowledge of the exact needs for each individual unit utilized by organization.</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 is more conducive to local sourcing. Local sourcing offers an organization the opportunity to obtain faster delivery times, more frequent deliveries, while still maintaining very close supplier ties.</w:t>
                        </w:r>
                      </w:p>
                    </w:tc>
                  </w:tr>
                  <w:tr>
                    <w:tblPrEx>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 allows quicker response because the decentralized purchasing allows for faster decisions because of decreased bureaucracy.</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8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Supply Management is used to describe responsibilities above and beyond those of traditional purchasing. What are three of these key activities and why are they considered important to Supply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answers are possible.</w:t>
                  </w:r>
                </w:p>
                <w:tbl>
                  <w:tblPr>
                    <w:tblW w:w="8073" w:type="dxa"/>
                    <w:jc w:val="left"/>
                    <w:tblBorders>
                      <w:top w:val="nil"/>
                      <w:left w:val="nil"/>
                      <w:bottom w:val="nil"/>
                      <w:right w:val="nil"/>
                      <w:insideH w:val="nil"/>
                      <w:insideV w:val="nil"/>
                    </w:tblBorders>
                    <w:tblCellMar>
                      <w:top w:w="0" w:type="dxa"/>
                      <w:left w:w="0" w:type="dxa"/>
                      <w:bottom w:w="0" w:type="dxa"/>
                      <w:right w:w="0" w:type="dxa"/>
                    </w:tblCellMar>
                  </w:tblPr>
                  <w:tblGrid>
                    <w:gridCol w:w="641"/>
                    <w:gridCol w:w="7432"/>
                  </w:tblGrid>
                  <w:tr>
                    <w:tblPrEx>
                      <w:tblW w:w="8073"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Supply Management is responsible for 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uninterrupted flow of raw materials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8073" w:type="dxa"/>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Supply Management is responsible for 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acquisition of materials at lowest total cost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8073" w:type="dxa"/>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Supply Management is responsible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for improving the quality of finished goods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through the purchase of high-quality components and/or raw materials.</w:t>
                        </w:r>
                      </w:p>
                    </w:tc>
                  </w:tr>
                  <w:tr>
                    <w:tblPrEx>
                      <w:tblW w:w="8073" w:type="dxa"/>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Modern supply chains require close partnerships with suppliers; Supply Management departments are very often responsible for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maintaining those relationships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8073" w:type="dxa"/>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Pushing suppliers to improve the quality of their raw materials and/or components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8073" w:type="dxa"/>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Supply Management departments are often responsible for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assisting in collapsing design-to-production cycle time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8073" w:type="dxa"/>
                      <w:jc w:val="left"/>
                      <w:tblCellMar>
                        <w:top w:w="0" w:type="dxa"/>
                        <w:left w:w="0" w:type="dxa"/>
                        <w:bottom w:w="0" w:type="dxa"/>
                        <w:right w:w="0" w:type="dxa"/>
                      </w:tblCellMar>
                    </w:tblPrEx>
                    <w:trPr>
                      <w:cantSplit w:val="0"/>
                      <w:jc w:val="left"/>
                    </w:trPr>
                    <w:tc>
                      <w:tcPr>
                        <w:tcW w:w="69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 departments are often seen as a conduit between external suppliers and internal design and/or operations people.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information to determine which supplier for steering wheels is more cost-effective using total cost analysis. Late delivery of the component results in 50% lost sales and 50% back orders of finished goods.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 1</w:t>
            </w:r>
          </w:p>
          <w:tbl>
            <w:tblPr>
              <w:tblW w:w="541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3520"/>
              <w:gridCol w:w="1865"/>
            </w:tblGrid>
            <w:tr>
              <w:tblPrEx>
                <w:tblW w:w="541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Order lot size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Annual Requirements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3600 units</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Weight per steering wheel</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20 pounds</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Order processing cost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$125</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Inventory carrying rate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20% per year</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working capital</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10% per year</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Profit margin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20%</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Price of finished golf cart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$5000</w:t>
                  </w:r>
                </w:p>
              </w:tc>
            </w:tr>
            <w:tr>
              <w:tblPrEx>
                <w:tblW w:w="5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Back order cost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$15 per unit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 2</w:t>
            </w:r>
          </w:p>
          <w:tbl>
            <w:tblPr>
              <w:tblW w:w="708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4018"/>
              <w:gridCol w:w="1500"/>
              <w:gridCol w:w="1532"/>
            </w:tblGrid>
            <w:tr>
              <w:tblPrEx>
                <w:tblW w:w="708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Unit Price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Supplier 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Supplier B</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 to 999 units/order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$52</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1000 to 2,999 units/order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$50</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Tooling cost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$1000</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Terms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2/10 net 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 net 30</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Distance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120 miles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100 miles</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Supplier Quality Rating (defects)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r>
            <w:tr>
              <w:tblPrEx>
                <w:tblW w:w="708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Supplier Delivery Rating (late)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Here are the freight rates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Truckload (TL ≥ 40,000 lbs):    $0.90 per ton-mile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Truckload Less-than-truckload (LTL):    $1.10 per ton-mile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Note: per ton-mile = 2000 lbs. per mile; number of days per year = 365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cost of ownership = Total steering wheel cost - Cash Discount + Tooling cost + Transportation cost + Ordering cost + Carrying Cost + Quality cost + Delivery rating (Back Order Cost and Lost Sales).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Supplier A</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1. Total steering wheel cost = 3600 x 50 = $180,000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Discount A = 180,000 x (10% x 30/365) = $1479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Cash Discount B = 180,000 x (10% x 10/365 + 2%) = $4093 use this for biggest savings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Tooling cost = 1000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Transportation cost = (300 x 20) = 6000 so must use LTL shipment at $1.10 per ton-mile 120 x 3600 x 20 x 1.10/2000 = 4752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Ordering cost = (3600/300) x 125 = $1500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Carrying Cost = (300/2) x 50 x 20%= $1500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 Quality cost = 230,400 x 3% = $6912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8. Delivery rating - Back order cost (50%) = 4800 x 1% x 50% x 15 = $360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Lost Sales (50%) = 4800 x 1% x 50% x 5000 x 20% = $24,000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cost of ownership = 180,000 - 4093 + 1000 + 4752 +1500 + 1920 + 6912 + 360 + 24,000 = $267,189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Supplier B</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1.Total steering wheel cost = 3600 x 52 = $187,200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Cash Discount A = $187,200x (10% x 30/365) = $1539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Cash Discount B = 187,200 x (10% x 10/365 + 2%) = $4257 use this for biggest savings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Tooling cost = 1000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Transportation cost = (300 x 20) = 6000 so must use LTL shipment at $1.10 per ton-mile 100 x 3600 x 20 x 1.10/2000) = 3960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Ordering cost = (3600/300) x 125 = $1500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Carrying Cost = (360/2) x 52 x 20%= $1872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 Quality cost = 187,200 x 2% = $3744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8. Delivery rating - Back order cost (50%) = 3600 x 2% x 50% x 15 = $540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Lost Sales (50%) = 3600 x 2% x 50% x 5000 x 20% = $3600</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cost of ownership = 187,200 - 4257 + 1000 + 3960 +1500 + 1872 + 3744 + 540 + 36,000 = $231,559</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cost analysis shows that Supplier A is more cost-effective. Supplier A has a better unit price, cash discount rate, and better delivery performance rating.</w:t>
                  </w:r>
                </w:p>
              </w:tc>
            </w:tr>
          </w:tbl>
          <w:p/>
        </w:tc>
      </w:tr>
    </w:tbl>
    <w:p>
      <w:pPr>
        <w:bidi w:val="0"/>
        <w:spacing w:after="75"/>
        <w:jc w:val="left"/>
      </w:pPr>
    </w:p>
    <w:p>
      <w:pPr>
        <w:bidi w:val="0"/>
        <w:spacing w:after="75"/>
        <w:jc w:val="left"/>
      </w:pPr>
    </w:p>
    <w:sectPr>
      <w:headerReference w:type="default" r:id="rId6"/>
      <w:footerReference w:type="default" r:id="rId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02: Purchasing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Purchasing Management</dc:title>
  <dc:creator>Ida  Ferrara</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GE2TONZWHE3DSOJZ</vt:lpwstr>
  </property>
</Properties>
</file>