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Rules of tax law do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 Revenue Rulings and Revenue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professional need not worry about the relative weight of authority within the various tax law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In recent years, Congress has been relatively successful in simplifying the Internal Revenue Code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should always minimize their tax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codification of the tax law occurred in 1954.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This Internal Revenue Code section citation is correct: § 212(1).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Subchapter D refers to the “Corporate Distributions and Adjustments” section of the Internal Revenue Code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Regulations are issued immediately after a statute is enacted.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Temporary Regulations are only published in the </w:t>
            </w:r>
            <w:r>
              <w:rPr>
                <w:rStyle w:val="DefaultParagraphFont"/>
                <w:rFonts w:ascii="Times New Roman" w:eastAsia="Times New Roman" w:hAnsi="Times New Roman" w:cs="Times New Roman"/>
                <w:b w:val="0"/>
                <w:bCs w:val="0"/>
                <w:i/>
                <w:iCs/>
                <w:smallCaps w:val="0"/>
                <w:color w:val="000000"/>
                <w:sz w:val="22"/>
                <w:szCs w:val="22"/>
                <w:bdr w:val="nil"/>
                <w:rtl w:val="0"/>
              </w:rPr>
              <w:t>Internal Revenue Bulletin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issued by the National Office of the IRS carry the same legal force and effect as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Revenue Ruling is an administrative source of Federal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citation could be a correct citation: Rev. Rul. </w:t>
            </w:r>
            <w:r>
              <w:rPr>
                <w:rStyle w:val="DefaultParagraphFont"/>
                <w:rFonts w:ascii="Times New Roman" w:eastAsia="Times New Roman" w:hAnsi="Times New Roman" w:cs="Times New Roman"/>
                <w:b w:val="0"/>
                <w:bCs w:val="0"/>
                <w:i w:val="0"/>
                <w:iCs w:val="0"/>
                <w:smallCaps w:val="0"/>
                <w:color w:val="000000"/>
                <w:sz w:val="22"/>
                <w:szCs w:val="22"/>
                <w:bdr w:val="nil"/>
                <w:rtl w:val="0"/>
              </w:rPr>
              <w:t>2021-42</w:t>
            </w:r>
            <w:r>
              <w:rPr>
                <w:rStyle w:val="DefaultParagraphFont"/>
                <w:rFonts w:ascii="Times New Roman" w:eastAsia="Times New Roman" w:hAnsi="Times New Roman" w:cs="Times New Roman"/>
                <w:b w:val="0"/>
                <w:bCs w:val="0"/>
                <w:i w:val="0"/>
                <w:iCs w:val="0"/>
                <w:smallCaps w:val="0"/>
                <w:color w:val="000000"/>
                <w:sz w:val="22"/>
                <w:szCs w:val="22"/>
                <w:bdr w:val="nil"/>
                <w:rtl w:val="0"/>
              </w:rPr>
              <w:t>, 2021-64 I.R.B. 982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 deal with the internal management practices and procedures of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Post-1984 letter rulings may be substantial authority for purposes of the accuracy-related penalty in § 6662.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 letter ruling applies only to the taxpayer who asks for and obtains a letter ruling.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IRS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required to make a letter ruling public.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letters usually involve completed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Technical Advice Memoranda deal with completed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Technical Advice Memoranda may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cited as precedents by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must pay any tax deficiency assessed by the IRS and sue for a refund to bring suit in the U.S. Court of Federal Claims. Only in the Tax Court can jurisdiction be obtained without first paying the assessed tax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 a U.S. District Court, a jury can decide both questions of fact and questions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Three judges will normally hear each U.S. Tax Court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can obtain a jury trial in the U.S. Tax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must pay any tax deficiency assessed by the IRS and sue for a refund to bring suit in the U.S. District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Arizona is in the jurisdiction of the Eighth Circuit Court of Appeals.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Texas is in the jurisdiction of the Second Circuit Court of Appeals.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Golsen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rule has been overturned by the U.S. Supreme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granting of a Writ of Certiorari indicates that at least four members of the Supreme Court believe that an issue is of sufficient importance to be heard by the full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petitioner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the party against whom a suit is brought.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petitioner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synonym for </w:t>
            </w:r>
            <w:r>
              <w:rPr>
                <w:rStyle w:val="DefaultParagraphFont"/>
                <w:rFonts w:ascii="Times New Roman" w:eastAsia="Times New Roman" w:hAnsi="Times New Roman" w:cs="Times New Roman"/>
                <w:b w:val="0"/>
                <w:bCs w:val="0"/>
                <w:i/>
                <w:iCs/>
                <w:smallCaps w:val="0"/>
                <w:color w:val="000000"/>
                <w:sz w:val="22"/>
                <w:szCs w:val="22"/>
                <w:bdr w:val="nil"/>
                <w:rtl w:val="0"/>
              </w:rPr>
              <w:t>defendant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Tax Court meets most often in Washington, D.C.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11 geographic U.S. Circuit Court of Appeals.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citation is correct: </w:t>
            </w:r>
            <w:r>
              <w:rPr>
                <w:rStyle w:val="DefaultParagraphFont"/>
                <w:rFonts w:ascii="Times New Roman" w:eastAsia="Times New Roman" w:hAnsi="Times New Roman" w:cs="Times New Roman"/>
                <w:b w:val="0"/>
                <w:bCs w:val="0"/>
                <w:i/>
                <w:iCs/>
                <w:smallCaps w:val="0"/>
                <w:color w:val="000000"/>
                <w:sz w:val="22"/>
                <w:szCs w:val="22"/>
                <w:bdr w:val="nil"/>
                <w:rtl w:val="0"/>
              </w:rPr>
              <w:t>Larry G. Mitchell</w:t>
            </w:r>
            <w:r>
              <w:rPr>
                <w:rStyle w:val="DefaultParagraphFont"/>
                <w:rFonts w:ascii="Times New Roman" w:eastAsia="Times New Roman" w:hAnsi="Times New Roman" w:cs="Times New Roman"/>
                <w:b w:val="0"/>
                <w:bCs w:val="0"/>
                <w:i w:val="0"/>
                <w:iCs w:val="0"/>
                <w:smallCaps w:val="0"/>
                <w:color w:val="000000"/>
                <w:sz w:val="22"/>
                <w:szCs w:val="22"/>
                <w:bdr w:val="nil"/>
                <w:rtl w:val="0"/>
              </w:rPr>
              <w:t>, 131 T.C. 215 (2008).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IRS issues an acquiescence or nonacquiescence only for regular Tax Court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direct conflict between an Internal Revenue Code section adopted in 2017 and a treaty with France (signed in 2016). The Internal Revenue Code section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z w:val="22"/>
                <w:szCs w:val="22"/>
                <w:bdr w:val="nil"/>
                <w:rtl w:val="0"/>
              </w:rPr>
              <w:t>Small Cases Division of the U.S. Tax Court will hear only those cases involving amounts of $100,000 or less.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 U.S. District Court is considered the lowest trial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research process should </w:t>
            </w:r>
            <w:r>
              <w:rPr>
                <w:rStyle w:val="DefaultParagraphFont"/>
                <w:rFonts w:ascii="Times New Roman" w:eastAsia="Times New Roman" w:hAnsi="Times New Roman" w:cs="Times New Roman"/>
                <w:b w:val="0"/>
                <w:bCs w:val="0"/>
                <w:i/>
                <w:iCs/>
                <w:smallCaps w:val="0"/>
                <w:color w:val="000000"/>
                <w:sz w:val="22"/>
                <w:szCs w:val="22"/>
                <w:bdr w:val="nil"/>
                <w:rtl w:val="0"/>
              </w:rPr>
              <w:t>always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begin with a tax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Electronic (online) databases are most frequently searched by the keyword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treasure trove is taxable when sold or exchanged.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Bluebook is substantial authority for purposes of the accuracy related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purpose of effective tax planning is to reduce or defer the tax in the current tax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Deferring income to a subsequent year is considered to be tax avoidance.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Tax planning usually involves a completed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On the redesigned 2024 CPA exam, Business Law is allocated 15%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25% of the REG section.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 changes passed as part of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Inflation Reduction Act of 2022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became part of the Internal Revenue Code of 1986.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tax measures typically originate in the Senate Finance Committee of the U.S. Congress.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Currently, the Internal Revenue Code of 1986 does not contain §§ 308, 309, and 310. This absence means these sections were repealed by Congress.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a tax bill can become a law, it must be approved (signed) by the President of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Normally, when the Senate version of a tax bill differs from that passed by the House, a Joint Conference Committee drafts a compromise tax bill.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Subchapter C refers to the subchapter in the Internal Revenue Code that deals with partnerships and partners.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issued by the National Office of the IRS carry the same legal force and effect as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are first published in the Internal Revenue Bulletin.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Temporary Regulation under § 303 of the Code would be cited as follows: Temp. Reg. § 303.</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Internal Revenue Code was first codified in what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Tax bills are handled by which committee in the U.S. House of Representatives?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Taxation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Ways and Means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Budget Committee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Federal tax legislation generally originates in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Senate Finance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 Ways and Means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Senate Floor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Subtitle A of the Internal Revenue Code covers which of the following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Estate and gift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Excise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taxes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In § 212(1), the number (1) stands for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Subsection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 designation.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Subparagraph designation.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correct citation to the Internal Revenue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211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1222(1)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2(a)(1)(A)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 are correct cites.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administrative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Chief Counsel Advice (CCA)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 § 199A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Counsel Memorandum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sources has the </w:t>
            </w:r>
            <w:r>
              <w:rPr>
                <w:rStyle w:val="DefaultParagraphFont"/>
                <w:rFonts w:ascii="Times New Roman" w:eastAsia="Times New Roman" w:hAnsi="Times New Roman" w:cs="Times New Roman"/>
                <w:b w:val="0"/>
                <w:bCs w:val="0"/>
                <w:i/>
                <w:iCs/>
                <w:smallCaps w:val="0"/>
                <w:color w:val="000000"/>
                <w:sz w:val="22"/>
                <w:szCs w:val="22"/>
                <w:bdr w:val="nil"/>
                <w:rtl w:val="0"/>
              </w:rPr>
              <w:t>highest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w:t>
            </w:r>
            <w:r>
              <w:rPr>
                <w:rStyle w:val="DefaultParagraphFont"/>
                <w:rFonts w:ascii="Times New Roman" w:eastAsia="Times New Roman" w:hAnsi="Times New Roman" w:cs="Times New Roman"/>
                <w:b w:val="0"/>
                <w:bCs w:val="0"/>
                <w:i w:val="0"/>
                <w:iCs w:val="0"/>
                <w:smallCaps w:val="0"/>
                <w:color w:val="000000"/>
                <w:sz w:val="22"/>
                <w:szCs w:val="22"/>
                <w:bdr w:val="nil"/>
                <w:rtl w:val="0"/>
              </w:rPr>
              <w:t>authority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 section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types of Regulations has the </w:t>
            </w:r>
            <w:r>
              <w:rPr>
                <w:rStyle w:val="DefaultParagraphFont"/>
                <w:rFonts w:ascii="Times New Roman" w:eastAsia="Times New Roman" w:hAnsi="Times New Roman" w:cs="Times New Roman"/>
                <w:b w:val="0"/>
                <w:bCs w:val="0"/>
                <w:i/>
                <w:iCs/>
                <w:smallCaps w:val="0"/>
                <w:color w:val="000000"/>
                <w:sz w:val="22"/>
                <w:szCs w:val="22"/>
                <w:bdr w:val="nil"/>
                <w:rtl w:val="0"/>
              </w:rPr>
              <w:t>highest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validity?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Temporary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Legislative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statement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with respect to a Regulation that interprets the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by the U.S. 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by the U.S. Treasury Department.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Designed to provide an interpretation of the tax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Carries more legal force than a Revenue Ruling.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In addressing the importance of a Regulation, an IRS agent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equal weight to the Internal Revenue Code and the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 more weight to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w:t>
                  </w:r>
                  <w:r>
                    <w:rPr>
                      <w:rStyle w:val="DefaultParagraphFont"/>
                      <w:rFonts w:ascii="Times New Roman" w:eastAsia="Times New Roman" w:hAnsi="Times New Roman" w:cs="Times New Roman"/>
                      <w:b w:val="0"/>
                      <w:bCs w:val="0"/>
                      <w:i w:val="0"/>
                      <w:iCs w:val="0"/>
                      <w:smallCaps w:val="0"/>
                      <w:color w:val="000000"/>
                      <w:sz w:val="22"/>
                      <w:szCs w:val="22"/>
                      <w:bdr w:val="nil"/>
                      <w:rtl w:val="0"/>
                    </w:rPr>
                    <w:t>Code rather than to a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 more weight to the Regulation rather than to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w:t>
                  </w:r>
                  <w:r>
                    <w:rPr>
                      <w:rStyle w:val="DefaultParagraphFont"/>
                      <w:rFonts w:ascii="Times New Roman" w:eastAsia="Times New Roman" w:hAnsi="Times New Roman" w:cs="Times New Roman"/>
                      <w:b w:val="0"/>
                      <w:bCs w:val="0"/>
                      <w:i w:val="0"/>
                      <w:iCs w:val="0"/>
                      <w:smallCaps w:val="0"/>
                      <w:color w:val="000000"/>
                      <w:sz w:val="22"/>
                      <w:szCs w:val="22"/>
                      <w:bdr w:val="nil"/>
                      <w:rtl w:val="0"/>
                    </w:rPr>
                    <w:t>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 less weight to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w:t>
                  </w:r>
                  <w:r>
                    <w:rPr>
                      <w:rStyle w:val="DefaultParagraphFont"/>
                      <w:rFonts w:ascii="Times New Roman" w:eastAsia="Times New Roman" w:hAnsi="Times New Roman" w:cs="Times New Roman"/>
                      <w:b w:val="0"/>
                      <w:bCs w:val="0"/>
                      <w:i w:val="0"/>
                      <w:iCs w:val="0"/>
                      <w:smallCaps w:val="0"/>
                      <w:color w:val="000000"/>
                      <w:sz w:val="22"/>
                      <w:szCs w:val="22"/>
                      <w:bdr w:val="nil"/>
                      <w:rtl w:val="0"/>
                    </w:rPr>
                    <w:t>Code rather than to a Regulation.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item may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cited as a precedent?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Temporary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Advice Memoranda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 decision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statement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with respect to Temporary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not be cited as 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with Proposed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Automatically expire within three years after the date of issuance.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Found in the </w:t>
                  </w:r>
                  <w:r>
                    <w:rPr>
                      <w:rStyle w:val="DefaultParagraphFont"/>
                      <w:rFonts w:ascii="Times New Roman" w:eastAsia="Times New Roman" w:hAnsi="Times New Roman" w:cs="Times New Roman"/>
                      <w:b w:val="0"/>
                      <w:bCs w:val="0"/>
                      <w:i/>
                      <w:iCs/>
                      <w:smallCaps w:val="0"/>
                      <w:color w:val="000000"/>
                      <w:sz w:val="22"/>
                      <w:szCs w:val="22"/>
                      <w:bdr w:val="nil"/>
                      <w:rtl w:val="0"/>
                    </w:rPr>
                    <w:t>Federal Register.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administrative release deals with a proposed transaction rather than a completed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Letter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Advice Memorandum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Field Service Advice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indicates that a decision has precedential value for future cases?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Stare decisis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Golsen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doctrine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En banc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Reenactment doctrine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who loses in a U.S. District Court may appeal to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Appropriate U.S. Circuit Court of Appeals.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who decides not to pay a tax deficiency, must litigate in which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Appropriate U.S. Circuit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jury trial is available in the following trial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Circuit Court of Appeals.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taxpayer may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appeal a case from which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Circuit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 Division of the U.S.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IRS will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acquiesce to the following tax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 Division of the U.S.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publisher offers the </w:t>
            </w:r>
            <w:r>
              <w:rPr>
                <w:rStyle w:val="DefaultParagraphFont"/>
                <w:rFonts w:ascii="Times New Roman" w:eastAsia="Times New Roman" w:hAnsi="Times New Roman" w:cs="Times New Roman"/>
                <w:b w:val="0"/>
                <w:bCs w:val="0"/>
                <w:i/>
                <w:iCs/>
                <w:smallCaps w:val="0"/>
                <w:color w:val="000000"/>
                <w:sz w:val="22"/>
                <w:szCs w:val="22"/>
                <w:bdr w:val="nil"/>
                <w:rtl w:val="0"/>
              </w:rPr>
              <w:t>Standard Federal Tax Reporter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Thomson Reuters </w:t>
                  </w:r>
                  <w:r>
                    <w:rPr>
                      <w:rStyle w:val="DefaultParagraphFont"/>
                      <w:rFonts w:ascii="Times New Roman" w:eastAsia="Times New Roman" w:hAnsi="Times New Roman" w:cs="Times New Roman"/>
                      <w:b w:val="0"/>
                      <w:bCs w:val="0"/>
                      <w:i/>
                      <w:iCs/>
                      <w:smallCaps w:val="0"/>
                      <w:color w:val="000000"/>
                      <w:sz w:val="22"/>
                      <w:szCs w:val="22"/>
                      <w:bdr w:val="nil"/>
                      <w:rtl w:val="0"/>
                    </w:rPr>
                    <w:t>Checkpoint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Institute of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Wolters Kluwer (Commerce Clearing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Bloomberg BNA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LexisNexis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is presently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commercial tax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CCH Intelliconnect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Federal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Thomson Reuters Checkpoint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Tax Management Portfolios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publisher offers the </w:t>
            </w:r>
            <w:r>
              <w:rPr>
                <w:rStyle w:val="DefaultParagraphFont"/>
                <w:rFonts w:ascii="Times New Roman" w:eastAsia="Times New Roman" w:hAnsi="Times New Roman" w:cs="Times New Roman"/>
                <w:b w:val="0"/>
                <w:bCs w:val="0"/>
                <w:i/>
                <w:iCs/>
                <w:smallCaps w:val="0"/>
                <w:color w:val="000000"/>
                <w:sz w:val="22"/>
                <w:szCs w:val="22"/>
                <w:bdr w:val="nil"/>
                <w:rtl w:val="0"/>
              </w:rPr>
              <w:t>United States Tax Reporter?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Thomson Reuters </w:t>
                  </w:r>
                  <w:r>
                    <w:rPr>
                      <w:rStyle w:val="DefaultParagraphFont"/>
                      <w:rFonts w:ascii="Times New Roman" w:eastAsia="Times New Roman" w:hAnsi="Times New Roman" w:cs="Times New Roman"/>
                      <w:b w:val="0"/>
                      <w:bCs w:val="0"/>
                      <w:i/>
                      <w:iCs/>
                      <w:smallCaps w:val="0"/>
                      <w:color w:val="000000"/>
                      <w:sz w:val="22"/>
                      <w:szCs w:val="22"/>
                      <w:bdr w:val="nil"/>
                      <w:rtl w:val="0"/>
                    </w:rPr>
                    <w:t>Checkpoint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Institute of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Wolters Kluwer (Commerce Clearing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LexisNexis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Analysts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searching on an electronic (online) tax service, which approach is more frequently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 section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Keyword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Table of contents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not a judicial citation?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CCA 200909002.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T.C. Memo 2008-289.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TCM 32 (1979).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592 F.Supp.18.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lowest authority in the Federal tax law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Proposed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Interpretive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tax-related website probably gives the best policy-orientation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taxalmanac.org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irs.gov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EY.com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taxanaly</w:t>
                  </w:r>
                  <w:r>
                    <w:rPr>
                      <w:rStyle w:val="DefaultParagraphFont"/>
                      <w:rFonts w:ascii="Times New Roman" w:eastAsia="Times New Roman" w:hAnsi="Times New Roman" w:cs="Times New Roman"/>
                      <w:b w:val="0"/>
                      <w:bCs w:val="0"/>
                      <w:i w:val="0"/>
                      <w:iCs w:val="0"/>
                      <w:smallCaps w:val="0"/>
                      <w:color w:val="000000"/>
                      <w:sz w:val="22"/>
                      <w:szCs w:val="22"/>
                      <w:bdr w:val="nil"/>
                      <w:rtl w:val="0"/>
                    </w:rPr>
                    <w:t>sts.com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court decision would probably carry more 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Regular U.S. Tax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Reviewed U.S. Tax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 Court </w:t>
                  </w:r>
                  <w:r>
                    <w:rPr>
                      <w:rStyle w:val="DefaultParagraphFont"/>
                      <w:rFonts w:ascii="Times New Roman" w:eastAsia="Times New Roman" w:hAnsi="Times New Roman" w:cs="Times New Roman"/>
                      <w:b w:val="0"/>
                      <w:bCs w:val="0"/>
                      <w:i w:val="0"/>
                      <w:iCs w:val="0"/>
                      <w:smallCaps w:val="0"/>
                      <w:color w:val="000000"/>
                      <w:sz w:val="22"/>
                      <w:szCs w:val="22"/>
                      <w:bdr w:val="nil"/>
                      <w:rtl w:val="0"/>
                    </w:rPr>
                    <w:t>Memorandum decis</w:t>
                  </w:r>
                  <w:r>
                    <w:rPr>
                      <w:rStyle w:val="DefaultParagraphFont"/>
                      <w:rFonts w:ascii="Times New Roman" w:eastAsia="Times New Roman" w:hAnsi="Times New Roman" w:cs="Times New Roman"/>
                      <w:b w:val="0"/>
                      <w:bCs w:val="0"/>
                      <w:i w:val="0"/>
                      <w:iCs w:val="0"/>
                      <w:smallCaps w:val="0"/>
                      <w:color w:val="000000"/>
                      <w:sz w:val="22"/>
                      <w:szCs w:val="22"/>
                      <w:bdr w:val="nil"/>
                      <w:rtl w:val="0"/>
                    </w:rPr>
                    <w: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Regulations have the force and effect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Finalized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Legislative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Interpretive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items tell taxpayers the IRS’s reaction to certain court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Actions on Decisions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primary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Notice 89-99, 1989-2 C.B. 422.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Estate of Harry Holmes v. Comm.</w:t>
                  </w:r>
                  <w:r>
                    <w:rPr>
                      <w:rStyle w:val="DefaultParagraphFont"/>
                      <w:rFonts w:ascii="Times New Roman" w:eastAsia="Times New Roman" w:hAnsi="Times New Roman" w:cs="Times New Roman"/>
                      <w:b w:val="0"/>
                      <w:bCs w:val="0"/>
                      <w:i w:val="0"/>
                      <w:iCs w:val="0"/>
                      <w:smallCaps w:val="0"/>
                      <w:color w:val="000000"/>
                      <w:sz w:val="22"/>
                      <w:szCs w:val="22"/>
                      <w:bdr w:val="nil"/>
                      <w:rtl w:val="0"/>
                    </w:rPr>
                    <w:t>, 326 U.S. 480 (1946).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 Rul. 79-353, 1979-2 C.B. 325.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 Reg. § 1.752-4T(f).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statements is </w:t>
            </w:r>
            <w:r>
              <w:rPr>
                <w:rStyle w:val="DefaultParagraphFont"/>
                <w:rFonts w:ascii="Times New Roman" w:eastAsia="Times New Roman" w:hAnsi="Times New Roman" w:cs="Times New Roman"/>
                <w:b w:val="0"/>
                <w:bCs w:val="0"/>
                <w:i/>
                <w:iCs/>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as it relates to the redesigned 2024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CPA exam?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z w:val="22"/>
                      <w:szCs w:val="22"/>
                      <w:bdr w:val="nil"/>
                      <w:rtl w:val="0"/>
                    </w:rPr>
                    <w:t>redesigned 2024 CPA exam now has three Core sections and three Discipline sections.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 longer task-based simulations on the exam.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candidate </w:t>
                  </w:r>
                  <w:r>
                    <w:rPr>
                      <w:rStyle w:val="DefaultParagraphFont"/>
                      <w:rFonts w:ascii="Times New Roman" w:eastAsia="Times New Roman" w:hAnsi="Times New Roman" w:cs="Times New Roman"/>
                      <w:b w:val="0"/>
                      <w:bCs w:val="0"/>
                      <w:i w:val="0"/>
                      <w:iCs w:val="0"/>
                      <w:smallCaps w:val="0"/>
                      <w:color w:val="000000"/>
                      <w:sz w:val="22"/>
                      <w:szCs w:val="22"/>
                      <w:bdr w:val="nil"/>
                      <w:rtl w:val="0"/>
                    </w:rPr>
                    <w:t>must select a Discipline section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previous BEC section material has been spread over other sections.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court decisions carries more 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 Circuit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Cases Division of U.S.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company does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publish citators for tax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Wiley &amp; 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Wolters Kluwer (Commerce Clearing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Thomson Reuters (RIA)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Westlaw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Interpret the following citation: 64-1 USTC ¶9618, aff’d in 344 F.2d 966.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Tax Court Small Cases Division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Tax Court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District Court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Circuit Court of Appeals decision that was affirmed on appeal.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citation refers to a Second Circuit Court of Appeals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T.C. 1018.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F.2d 848 (CA-2, 1947).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354 F. Supp. 1003 (D.Ct. GA. 1972).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914 F.2d 396 (CA-3, 1990).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citation refers to a U.S. Tax Court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Apollo Computer, Inc. v. U.S., 95-1 (USTC ¶50,015 (Fed.Cl., 1994)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Westreco, Inc., T.C. Memo. 1992-561 (1992).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Bausch &amp; Lomb, Inc. v. Comm., 933 F.2d 1084 (CA-2, 1991).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Portland Manufacturing Co. v. Comm., 35 AFTR2d 1439 (CA-9, 1975).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these citations appeared after a trial court decision, which one means that the decision was overruled?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Aff’d 633 F.2d 512 (CA-7, 1980).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Rem’d 399 F.2d 800 (CA-5, 1968).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Aff’d 914 F.2d 396 (CA-3, 1990).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Rev’d 935 F.2d 203 (CA-5, 1991).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Memorandum decision of the U.S. Tax Court could be cited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T.C. Memo. 1990-650.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68-1 USTC ¶9200.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AFTR.2d 456.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a primary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Serverino R. Nico, Jr., 67 T.C. 647 (1977).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Article by a Federal judge in Tax Notes.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IRS publication.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Written determination letter.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a nonacquiescence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nonacquiescence is issued in the Federal Registrar.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Nonacquiescences are published only for certain regular decisions of the 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nonacquiescence is published in the Internal Revenue Bulletin.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IRS does not issue nonacquiescences to adverse decisions that are not appealed.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Treasury Department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Regulations are issued by the U.S. Treasury Department under authority granted by Congress. Interpretive by nature, they provide taxpayers with considerable guidance on the meaning and application of the Internal Revenue Code. Regulations may be issued in </w:t>
                  </w:r>
                  <w:r>
                    <w:rPr>
                      <w:rStyle w:val="DefaultParagraphFont"/>
                      <w:rFonts w:ascii="Times New Roman" w:eastAsia="Times New Roman" w:hAnsi="Times New Roman" w:cs="Times New Roman"/>
                      <w:b w:val="0"/>
                      <w:bCs w:val="0"/>
                      <w:i/>
                      <w:iCs/>
                      <w:smallCaps w:val="0"/>
                      <w:color w:val="000000"/>
                      <w:sz w:val="22"/>
                      <w:szCs w:val="22"/>
                      <w:bdr w:val="nil"/>
                      <w:rtl w:val="0"/>
                    </w:rPr>
                    <w:t>proposed, temporary,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or </w:t>
                  </w:r>
                  <w:r>
                    <w:rPr>
                      <w:rStyle w:val="DefaultParagraphFont"/>
                      <w:rFonts w:ascii="Times New Roman" w:eastAsia="Times New Roman" w:hAnsi="Times New Roman" w:cs="Times New Roman"/>
                      <w:b w:val="0"/>
                      <w:bCs w:val="0"/>
                      <w:i/>
                      <w:iCs/>
                      <w:smallCaps w:val="0"/>
                      <w:color w:val="000000"/>
                      <w:sz w:val="22"/>
                      <w:szCs w:val="22"/>
                      <w:bdr w:val="nil"/>
                      <w:rtl w:val="0"/>
                    </w:rPr>
                    <w:t>final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form. Regulations carry considerable authority as the official interpretation of tax statutes. They are an important factor to consider in complying with the tax law. Courts generally ignore Proposed Regulations.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Revenue Rulings with Revenue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are official pronouncements of the National Office of the IRS. They typically provide one or more examples of how the IRS would apply a law to specific fact situations. Like Regulations, Revenue Rulings are designed to provide interpretation of the tax law. However, they do not carry the same legal force and effect as Regulations and usually deal with more restricted problems. Regulations are approved by the Secretary of the Treasury, whereas Revenue Rulings generally are not.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 are issued in the same manner as Revenue Rulings, but deal with the internal management practices and procedures of the IRS. Familiarity with these procedures can increase taxpayer compliance and help the IRS administer the tax laws more efficiently. A taxpayer’s failure to follow a Revenue Procedure can result in unnecessary delay or, in a discretionary situation, can cause the IRS to decline to act on behalf of the taxpayer.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How can Congressional Committee Reports be used by a tax researcher?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Congressional Committee Reports often explain the provisions of proposed legislation and are a valuable source of ascertaining the intent of Congress. The intent of Congress is the key to interpreting new legislation by taxpayers, especially before Regulations are published.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Technical Advice Memorandum?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National Office of the IRS releases Technical Advice Memoranda (TAMs) weekly. TAMs resemble letter rulings in that they give the IRS’s determination of an issue. However, they differ in several respects. Letter rulings deal with proposed transactions and are issued to taxpayers at their request. In contrast, TAMs deal with completed transactions. Furthermore, TAMs arise from questions raised by IRS personnel during audits and are issued by the National Office of the IRS to its field personnel. TAMs are often requested for questions relating to exempt organizations and employee plans. TAMs are not officially published and may not be cited or used as precedent.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advantages and disadvantages of the Small Cases Division of the U.S. Tax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appeal from the Small Cases Division. The jurisdiction of the Small Cases Division is limited to cases involving amounts of $50,000 or less. The proceedings of the Small Cases Division are informal (e.g., no necessity for the taxpayer to be represented by a lawyer or other tax adviser). Often, special trial judges rather than Tax Court judges preside over these proceedings. The decisions of the Small Cases Division are not precedents for any other court decision and are not reviewable by any higher court. Proceedings can be more timely and less expensive in the Small Cases Division. Some of these cases can now be found on the U.S. Tax Court Internet Website.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Distinguish between the jurisdiction of the U.S. Tax Court and a U.S. District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Tax Court hears only tax cases and is the most popular tax forum. The U.S. District Court hears a wide variety of nontax cases, including drug crimes and other Federal violations, as well as tax cases. Some Tax Court justices have been appointed from IRS or Treasury Department positions. For these reasons, some people suggest that the U.S. Tax Court has more expertise in tax matters.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treaties fit within tax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signs certain tax treaties (sometimes called tax conventions) with foreign countries to render mutual assistance in tax enforcement and to avoid double taxation. Tax legislation enacted in 1988 provided that neither a tax law nor a tax treaty takes general precedence. Thus, when there is a direct conflict with the Internal Revenue Code and a treaty, the most recent item will take precedence. A taxpayer must disclose on the tax return any position where a treaty overrides a tax law. There is a $1,000 penalty per failure to disclose for individuals and a $10,000 per failure to disclose penalty for corporations.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02: Working With the Tax Law</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Working With the Tax Law</dc:title>
  <dc:creator>Giorgio  Gotti</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GE2TONZXGQZDCMRQ</vt:lpwstr>
  </property>
</Properties>
</file>